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C9" w:rsidRDefault="00650FC9" w:rsidP="007734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23B36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77349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F69AB">
        <w:rPr>
          <w:rFonts w:ascii="Times New Roman" w:hAnsi="Times New Roman" w:cs="Times New Roman"/>
          <w:color w:val="auto"/>
          <w:sz w:val="24"/>
          <w:szCs w:val="24"/>
        </w:rPr>
        <w:t>РОССЕТИ</w:t>
      </w:r>
      <w:r w:rsidR="007734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69AB">
        <w:rPr>
          <w:rFonts w:ascii="Times New Roman" w:hAnsi="Times New Roman" w:cs="Times New Roman"/>
          <w:color w:val="auto"/>
          <w:sz w:val="24"/>
          <w:szCs w:val="24"/>
        </w:rPr>
        <w:t>СЕВЕРНЫЙ</w:t>
      </w:r>
      <w:r w:rsidR="003B0903" w:rsidRPr="003B0903">
        <w:rPr>
          <w:rFonts w:ascii="Times New Roman" w:hAnsi="Times New Roman" w:cs="Times New Roman"/>
          <w:color w:val="auto"/>
          <w:sz w:val="24"/>
          <w:szCs w:val="24"/>
        </w:rPr>
        <w:t xml:space="preserve"> КАВКАЗ</w:t>
      </w:r>
      <w:r w:rsidR="0077349D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B0903" w:rsidRPr="003B0903" w:rsidRDefault="003B0903" w:rsidP="003B0903"/>
    <w:p w:rsidR="007C5088" w:rsidRPr="005F7254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5F7254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свыше 670 кВт</w:t>
      </w:r>
    </w:p>
    <w:p w:rsidR="00650FC9" w:rsidRPr="005F7254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5F7254" w:rsidRDefault="008C2E25" w:rsidP="001E74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6003D4" w:rsidRPr="005F7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03D4">
        <w:rPr>
          <w:rFonts w:ascii="Times New Roman" w:hAnsi="Times New Roman" w:cs="Times New Roman"/>
          <w:sz w:val="24"/>
          <w:szCs w:val="24"/>
        </w:rPr>
        <w:t>заявитель</w:t>
      </w:r>
      <w:r w:rsidR="006003D4" w:rsidRPr="005F7254">
        <w:rPr>
          <w:rFonts w:ascii="Times New Roman" w:hAnsi="Times New Roman" w:cs="Times New Roman"/>
          <w:sz w:val="24"/>
          <w:szCs w:val="24"/>
        </w:rPr>
        <w:t>)</w:t>
      </w:r>
      <w:r w:rsidR="006003D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78" w:rsidRDefault="008C2E25" w:rsidP="001E7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CC4978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CC4978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</w:t>
      </w:r>
      <w:r w:rsidR="0077349D">
        <w:rPr>
          <w:rFonts w:ascii="Times New Roman" w:hAnsi="Times New Roman" w:cs="Times New Roman"/>
          <w:sz w:val="24"/>
          <w:szCs w:val="24"/>
        </w:rPr>
        <w:t>лирования тарифов.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9F" w:rsidRPr="005F7254" w:rsidRDefault="008C2E25" w:rsidP="001E7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5F725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5F725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5F7254">
        <w:rPr>
          <w:rFonts w:ascii="Times New Roman" w:hAnsi="Times New Roman" w:cs="Times New Roman"/>
          <w:sz w:val="24"/>
          <w:szCs w:val="24"/>
        </w:rPr>
        <w:t>а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5F7254">
        <w:rPr>
          <w:rFonts w:ascii="Times New Roman" w:hAnsi="Times New Roman" w:cs="Times New Roman"/>
          <w:sz w:val="24"/>
          <w:szCs w:val="24"/>
        </w:rPr>
        <w:t>ы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5F7254" w:rsidRDefault="008C2E25" w:rsidP="001E7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F7254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>
        <w:rPr>
          <w:rFonts w:ascii="Times New Roman" w:hAnsi="Times New Roman" w:cs="Times New Roman"/>
          <w:sz w:val="24"/>
          <w:szCs w:val="24"/>
        </w:rPr>
        <w:t>е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5F725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5F7254" w:rsidRDefault="000825BA" w:rsidP="001E74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5F7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5F7254">
        <w:rPr>
          <w:rFonts w:ascii="Times New Roman" w:hAnsi="Times New Roman" w:cs="Times New Roman"/>
          <w:sz w:val="24"/>
          <w:szCs w:val="24"/>
        </w:rPr>
        <w:t>:</w:t>
      </w:r>
    </w:p>
    <w:p w:rsidR="00FC33E3" w:rsidRPr="005F7254" w:rsidRDefault="00FC33E3" w:rsidP="001E748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5F7254">
        <w:rPr>
          <w:rFonts w:ascii="Times New Roman" w:hAnsi="Times New Roman" w:cs="Times New Roman"/>
          <w:b/>
          <w:sz w:val="24"/>
          <w:szCs w:val="24"/>
        </w:rPr>
        <w:t xml:space="preserve">1 год </w:t>
      </w:r>
      <w:r w:rsidR="004F68F4" w:rsidRPr="005F7254">
        <w:rPr>
          <w:rFonts w:ascii="Times New Roman" w:hAnsi="Times New Roman" w:cs="Times New Roman"/>
          <w:b/>
          <w:sz w:val="24"/>
          <w:szCs w:val="24"/>
        </w:rPr>
        <w:t>с даты заключения договора</w:t>
      </w:r>
      <w:r w:rsidR="00195358" w:rsidRPr="005F7254">
        <w:rPr>
          <w:rFonts w:ascii="Times New Roman" w:hAnsi="Times New Roman" w:cs="Times New Roman"/>
          <w:sz w:val="24"/>
          <w:szCs w:val="24"/>
        </w:rPr>
        <w:t>;</w:t>
      </w:r>
    </w:p>
    <w:p w:rsidR="0054414B" w:rsidRPr="005F7254" w:rsidRDefault="00CC4978" w:rsidP="001E7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5F7254">
        <w:rPr>
          <w:rFonts w:ascii="Times New Roman" w:hAnsi="Times New Roman" w:cs="Times New Roman"/>
          <w:b/>
          <w:sz w:val="24"/>
          <w:szCs w:val="24"/>
        </w:rPr>
        <w:t>2</w:t>
      </w:r>
      <w:r w:rsidR="00195358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5F7254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5F7254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F30DAA" w:rsidRPr="005F7254">
        <w:rPr>
          <w:rFonts w:ascii="Times New Roman" w:hAnsi="Times New Roman" w:cs="Times New Roman"/>
          <w:sz w:val="24"/>
          <w:szCs w:val="24"/>
        </w:rPr>
        <w:t xml:space="preserve">, </w:t>
      </w:r>
      <w:r w:rsidR="0054414B" w:rsidRPr="005F7254">
        <w:rPr>
          <w:rFonts w:ascii="Times New Roman" w:hAnsi="Times New Roman" w:cs="Times New Roman"/>
          <w:sz w:val="24"/>
          <w:szCs w:val="24"/>
        </w:rPr>
        <w:t>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195358" w:rsidRDefault="0019535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76C8" w:rsidRDefault="00D976C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76C8" w:rsidRPr="005F7254" w:rsidRDefault="00D976C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5F7254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jc w:val="center"/>
        <w:tblLayout w:type="fixed"/>
        <w:tblLook w:val="00A0" w:firstRow="1" w:lastRow="0" w:firstColumn="1" w:lastColumn="0" w:noHBand="0" w:noVBand="0"/>
      </w:tblPr>
      <w:tblGrid>
        <w:gridCol w:w="471"/>
        <w:gridCol w:w="2180"/>
        <w:gridCol w:w="2090"/>
        <w:gridCol w:w="2645"/>
        <w:gridCol w:w="2225"/>
        <w:gridCol w:w="1735"/>
        <w:gridCol w:w="2738"/>
      </w:tblGrid>
      <w:tr w:rsidR="00276213" w:rsidRPr="00FF69AB" w:rsidTr="00FF6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FF69AB" w:rsidRDefault="00CA183B" w:rsidP="005E4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FF69AB" w:rsidRDefault="00CA183B" w:rsidP="005E4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FF69AB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FF69AB" w:rsidRDefault="00CA183B" w:rsidP="005E4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FF69AB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FF69AB" w:rsidRDefault="00CA183B" w:rsidP="005E4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FF69AB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FA639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FA6398" w:rsidRPr="00FF69AB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FA6398" w:rsidRPr="00FF69AB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FA6398" w:rsidRPr="00FF69AB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FA6398" w:rsidRPr="00FF69AB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1.1.</w:t>
            </w:r>
            <w:r w:rsidR="006E41A4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подает заявку на технологическое присоединение;</w:t>
            </w:r>
          </w:p>
          <w:p w:rsidR="00FA6398" w:rsidRPr="00FF69AB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FA6398" w:rsidRPr="00FF69AB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FF69AB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FA6398" w:rsidRPr="00FF69AB" w:rsidRDefault="00FA6398" w:rsidP="005E4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FA6398" w:rsidRPr="00FF69AB" w:rsidRDefault="00FA639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FF69AB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6398" w:rsidRPr="00FF69AB" w:rsidTr="00FF69AB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A6398" w:rsidRPr="00FF69AB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A6398" w:rsidRPr="00FF69AB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</w:tcPr>
          <w:p w:rsidR="00FA6398" w:rsidRPr="00FF69AB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FA6398" w:rsidRPr="00FF69AB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1.2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E41A4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FA6398" w:rsidRPr="00FF69AB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A6398" w:rsidRPr="00FF69AB" w:rsidRDefault="00C125B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</w:t>
            </w:r>
            <w:r w:rsidR="00FA6398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получения заявки</w:t>
            </w:r>
          </w:p>
        </w:tc>
        <w:tc>
          <w:tcPr>
            <w:tcW w:w="972" w:type="pct"/>
          </w:tcPr>
          <w:p w:rsidR="00FA6398" w:rsidRPr="00FF69AB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E41A4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E41A4" w:rsidRPr="00FF69AB" w:rsidRDefault="006E41A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6E41A4" w:rsidRPr="00FF69AB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</w:tcPr>
          <w:p w:rsidR="006E41A4" w:rsidRPr="00FF69AB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E41A4" w:rsidRPr="00FF69AB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1.3. 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сетевой организацией копии заявки </w:t>
            </w:r>
            <w:r w:rsidR="009D2C3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5 МВт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рассмотрение системному оператору</w:t>
            </w:r>
          </w:p>
        </w:tc>
        <w:tc>
          <w:tcPr>
            <w:tcW w:w="790" w:type="pct"/>
          </w:tcPr>
          <w:p w:rsidR="006E41A4" w:rsidRPr="00FF69AB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E41A4" w:rsidRPr="00FF69AB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6E41A4" w:rsidRPr="00FF69AB" w:rsidRDefault="006E41A4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FF69AB" w:rsidTr="00FF69AB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603CF2" w:rsidRPr="00FF69AB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2.1. 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  <w:r w:rsidR="0007146B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603CF2" w:rsidRPr="00FF69AB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направляется 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FF69AB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2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FF69AB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2.</w:t>
            </w:r>
            <w:r w:rsidR="0007146B"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2.</w:t>
            </w:r>
            <w:r w:rsidR="0007146B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(выдача при очном посещении офиса обслуживания) сетевой организацией проекта договора об осуществлении </w:t>
            </w:r>
            <w:r w:rsidR="00D976C8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присоединения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 техническими условиями</w:t>
            </w:r>
          </w:p>
        </w:tc>
        <w:tc>
          <w:tcPr>
            <w:tcW w:w="790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FF69AB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03CF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дней со </w:t>
            </w:r>
            <w:proofErr w:type="gramStart"/>
            <w:r w:rsidR="00603CF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  получения</w:t>
            </w:r>
            <w:proofErr w:type="gramEnd"/>
            <w:r w:rsidR="00603CF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заявки;</w:t>
            </w:r>
          </w:p>
          <w:p w:rsidR="00603CF2" w:rsidRPr="00FF69AB" w:rsidRDefault="0007146B" w:rsidP="00D976C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r w:rsidR="00D976C8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</w:t>
            </w:r>
            <w:r w:rsidR="009D2C3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сутствия сведений (документов) 2</w:t>
            </w:r>
            <w:r w:rsidR="00D976C8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дней с даты</w:t>
            </w:r>
            <w:r w:rsidR="00603CF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недостающих сведений</w:t>
            </w:r>
          </w:p>
          <w:p w:rsidR="0007146B" w:rsidRPr="00FF69AB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="00D976C8"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позднее 3 рабочих дней со дня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согласования с системным оператором </w:t>
            </w:r>
            <w:r w:rsidR="00D976C8" w:rsidRPr="00FF69AB">
              <w:rPr>
                <w:rFonts w:ascii="Times New Roman" w:hAnsi="Times New Roman" w:cs="Times New Roman"/>
                <w:sz w:val="20"/>
                <w:szCs w:val="20"/>
              </w:rPr>
              <w:t>тех. условий</w:t>
            </w:r>
          </w:p>
        </w:tc>
        <w:tc>
          <w:tcPr>
            <w:tcW w:w="972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FF69AB" w:rsidTr="00FF69AB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FF69AB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2.2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FF69AB" w:rsidRDefault="009D2C3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3CF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дней </w:t>
            </w:r>
            <w:proofErr w:type="gramStart"/>
            <w:r w:rsidR="00603CF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 дня</w:t>
            </w:r>
            <w:proofErr w:type="gramEnd"/>
            <w:r w:rsidR="00603CF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заявителем проекта договора.</w:t>
            </w:r>
          </w:p>
          <w:p w:rsidR="00603CF2" w:rsidRPr="00FF69AB" w:rsidRDefault="00603CF2" w:rsidP="00D976C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spellStart"/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ненаправления</w:t>
            </w:r>
            <w:proofErr w:type="spellEnd"/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подписанного проекта договора  либо мотивированного </w:t>
            </w:r>
            <w:r w:rsidR="009D2C32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 от его подписания через 3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дней  –  заявка аннулируется.</w:t>
            </w:r>
          </w:p>
        </w:tc>
        <w:tc>
          <w:tcPr>
            <w:tcW w:w="972" w:type="pct"/>
          </w:tcPr>
          <w:p w:rsidR="00603CF2" w:rsidRPr="00FF69AB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2.3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CC4978" w:rsidRPr="00FF69AB" w:rsidRDefault="00CC497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9D2C32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CC4978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 с даты получения от заявителя мотивированного требования о приведении </w:t>
            </w:r>
            <w:r w:rsidR="00CC4978"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 договора в соответствие с Правилами ТП</w:t>
            </w:r>
          </w:p>
        </w:tc>
        <w:tc>
          <w:tcPr>
            <w:tcW w:w="972" w:type="pct"/>
          </w:tcPr>
          <w:p w:rsidR="00CC4978" w:rsidRPr="00FF69AB" w:rsidRDefault="00CC497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CC49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2.4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3.1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3.2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3.3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978" w:rsidRPr="00FF69AB" w:rsidTr="00FF69A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3.</w:t>
            </w:r>
            <w:proofErr w:type="gramStart"/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proofErr w:type="gramEnd"/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заявителем сетевой организации о выполнении технических условий с пакетом необходимых документов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согласования сетевой организации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3.5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.Направление с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етевой  организацией уведомления о готовности заявителя к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уведомления заявителя с необходимым пакетом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Пункты 94 Правил технологического присоединения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4.1.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9D2C32" w:rsidRPr="00FF69AB" w:rsidRDefault="009D2C32" w:rsidP="009D2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Акт о выполнении технических условий.</w:t>
            </w:r>
          </w:p>
          <w:p w:rsidR="00CC4978" w:rsidRPr="00FF69AB" w:rsidRDefault="00CC4978" w:rsidP="009D2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CC4978" w:rsidRPr="00FF69AB" w:rsidRDefault="00CC4978" w:rsidP="00356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Пункты 8</w:t>
            </w:r>
            <w:r w:rsidR="00356E81" w:rsidRPr="00FF6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9D2C32" w:rsidRPr="00FF69AB" w:rsidRDefault="00CC4978" w:rsidP="00FF6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4.2.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 Согласование </w:t>
            </w:r>
            <w:r w:rsidR="009D2C32" w:rsidRPr="00FF69AB">
              <w:rPr>
                <w:rFonts w:ascii="Times New Roman" w:hAnsi="Times New Roman" w:cs="Times New Roman"/>
                <w:sz w:val="20"/>
                <w:szCs w:val="20"/>
              </w:rPr>
              <w:t>выявленных замечаний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с субъектом оперативно-диспетчерского управления</w:t>
            </w:r>
          </w:p>
        </w:tc>
        <w:tc>
          <w:tcPr>
            <w:tcW w:w="790" w:type="pct"/>
          </w:tcPr>
          <w:p w:rsidR="001B2B60" w:rsidRPr="00FF69AB" w:rsidRDefault="001B2B60" w:rsidP="001B2B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Акт о выполнении технических условий.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4.3.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</w:t>
            </w:r>
            <w:proofErr w:type="gramStart"/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уведомление  способом</w:t>
            </w:r>
            <w:proofErr w:type="gramEnd"/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установить дату отправки и получения уведомления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1B2B60" w:rsidP="001B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течение 5 дней с</w:t>
            </w:r>
            <w:r w:rsidR="00CC4978"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о дня оформления акта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технических условий 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невыполнении заявителем требований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4.4.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1B2B60" w:rsidRPr="00FF69AB" w:rsidRDefault="001B2B60" w:rsidP="001B2B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Акт о выполнении технических условий.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после получения от заявителя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Пункты 89 Правил технологического присоединения энергопринимающих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 потребителей электрической энергии</w:t>
            </w:r>
          </w:p>
        </w:tc>
      </w:tr>
      <w:tr w:rsidR="00CC4978" w:rsidRPr="00FF69AB" w:rsidTr="00FF69A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4.5.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Прием в эксплуатацию прибора учета.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CC4978" w:rsidRPr="00FF69AB" w:rsidRDefault="004E626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C4978" w:rsidRPr="00FF69AB">
                <w:rPr>
                  <w:rFonts w:ascii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CC4978"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FF69AB">
              <w:rPr>
                <w:rStyle w:val="ae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4.6.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направляется 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3-дневный срок после проведения осмотра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 xml:space="preserve">4.7.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FF69AB"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5.1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5.2.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Акта об осуществлении технологического присоединения;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Акта разграничения границ балансовой принадлежности сторон;</w:t>
            </w:r>
          </w:p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Подписанные со стороны сетевой организации Акты  в письменной форме направляются </w:t>
            </w:r>
            <w:r w:rsidRPr="00FF6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FF69AB" w:rsidTr="00FF6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FF69AB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  <w:lang w:eastAsia="ru-RU"/>
              </w:rPr>
              <w:t>5.3.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сетевой организацией п</w:t>
            </w:r>
            <w:r w:rsidR="00D976C8"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одписанных с  заявителем актов </w:t>
            </w: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энергосбытовую</w:t>
            </w:r>
            <w:proofErr w:type="spellEnd"/>
            <w:r w:rsidRPr="00FF69A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организацию </w:t>
            </w:r>
          </w:p>
        </w:tc>
        <w:tc>
          <w:tcPr>
            <w:tcW w:w="790" w:type="pct"/>
          </w:tcPr>
          <w:p w:rsidR="00CC4978" w:rsidRPr="00FF69AB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FF69AB" w:rsidRDefault="00CC4978" w:rsidP="005E4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CC4978" w:rsidRPr="00FF69AB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B">
              <w:rPr>
                <w:rFonts w:ascii="Times New Roman" w:hAnsi="Times New Roman" w:cs="Times New Roman"/>
                <w:sz w:val="20"/>
                <w:szCs w:val="20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AD4A7C" w:rsidRDefault="00AD4A7C" w:rsidP="00AD4A7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27F" w:rsidRPr="0037427F" w:rsidRDefault="0037427F" w:rsidP="0037427F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>Единый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контактный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центр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«Светлая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страна»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ПАО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«Россети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Северный Кавказ»</w:t>
      </w:r>
      <w:r w:rsidRPr="003742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по телефону:</w:t>
      </w:r>
      <w:r w:rsidRPr="0037427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b/>
          <w:color w:val="548DD4"/>
          <w:sz w:val="24"/>
          <w:szCs w:val="24"/>
        </w:rPr>
        <w:t>8</w:t>
      </w:r>
      <w:r w:rsidRPr="0037427F">
        <w:rPr>
          <w:rFonts w:ascii="Times New Roman" w:hAnsi="Times New Roman" w:cs="Times New Roman"/>
          <w:b/>
          <w:color w:val="548DD4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b/>
          <w:color w:val="548DD4"/>
          <w:sz w:val="24"/>
          <w:szCs w:val="24"/>
        </w:rPr>
        <w:t>800</w:t>
      </w:r>
      <w:r w:rsidRPr="0037427F">
        <w:rPr>
          <w:rFonts w:ascii="Times New Roman" w:hAnsi="Times New Roman" w:cs="Times New Roman"/>
          <w:b/>
          <w:color w:val="548DD4"/>
          <w:spacing w:val="-1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b/>
          <w:color w:val="548DD4"/>
          <w:sz w:val="24"/>
          <w:szCs w:val="24"/>
        </w:rPr>
        <w:t>220-0-220</w:t>
      </w:r>
    </w:p>
    <w:p w:rsidR="0037427F" w:rsidRPr="0037427F" w:rsidRDefault="0037427F" w:rsidP="0037427F">
      <w:pPr>
        <w:pStyle w:val="af9"/>
        <w:rPr>
          <w:rFonts w:ascii="Times New Roman" w:hAnsi="Times New Roman" w:cs="Times New Roman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>Личный</w:t>
      </w:r>
      <w:r w:rsidRPr="003742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кабинет</w:t>
      </w:r>
      <w:r w:rsidRPr="003742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Заявителя,</w:t>
      </w:r>
      <w:r w:rsidRPr="003742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Центры</w:t>
      </w:r>
      <w:r w:rsidRPr="003742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обслужи</w:t>
      </w:r>
      <w:bookmarkStart w:id="0" w:name="_GoBack"/>
      <w:bookmarkEnd w:id="0"/>
      <w:r w:rsidRPr="0037427F">
        <w:rPr>
          <w:rFonts w:ascii="Times New Roman" w:hAnsi="Times New Roman" w:cs="Times New Roman"/>
          <w:sz w:val="24"/>
          <w:szCs w:val="24"/>
        </w:rPr>
        <w:t>вания</w:t>
      </w:r>
      <w:r w:rsidRPr="003742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клиентов.</w:t>
      </w:r>
    </w:p>
    <w:p w:rsidR="0037427F" w:rsidRPr="0037427F" w:rsidRDefault="0037427F" w:rsidP="0037427F">
      <w:pPr>
        <w:pStyle w:val="af9"/>
        <w:rPr>
          <w:rFonts w:ascii="Times New Roman" w:hAnsi="Times New Roman" w:cs="Times New Roman"/>
          <w:color w:val="548DD4" w:themeColor="text2" w:themeTint="99"/>
          <w:spacing w:val="-57"/>
          <w:sz w:val="24"/>
          <w:szCs w:val="24"/>
        </w:rPr>
      </w:pPr>
      <w:r w:rsidRPr="0037427F">
        <w:rPr>
          <w:rFonts w:ascii="Times New Roman" w:hAnsi="Times New Roman" w:cs="Times New Roman"/>
          <w:sz w:val="24"/>
          <w:szCs w:val="24"/>
        </w:rPr>
        <w:t>Адреса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и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время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работы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центров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обслуживания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клиентов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представлены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на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сайте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ПАО</w:t>
      </w:r>
      <w:r w:rsidRPr="0037427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7427F">
        <w:rPr>
          <w:rFonts w:ascii="Times New Roman" w:hAnsi="Times New Roman" w:cs="Times New Roman"/>
          <w:sz w:val="24"/>
          <w:szCs w:val="24"/>
        </w:rPr>
        <w:t>«Россети</w:t>
      </w:r>
      <w:r w:rsidRPr="0037427F"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 w:rsidRPr="0037427F">
        <w:rPr>
          <w:rFonts w:ascii="Times New Roman" w:hAnsi="Times New Roman" w:cs="Times New Roman"/>
          <w:sz w:val="24"/>
          <w:szCs w:val="24"/>
        </w:rPr>
        <w:t xml:space="preserve">Северный Кавказ»: </w:t>
      </w:r>
      <w:hyperlink r:id="rId9" w:history="1">
        <w:r w:rsidRPr="0037427F">
          <w:rPr>
            <w:rStyle w:val="af4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http://www.rosseti</w:t>
        </w:r>
        <w:proofErr w:type="spellStart"/>
        <w:r w:rsidRPr="0037427F">
          <w:rPr>
            <w:rStyle w:val="af4"/>
            <w:rFonts w:ascii="Times New Roman" w:hAnsi="Times New Roman" w:cs="Times New Roman"/>
            <w:b/>
            <w:color w:val="548DD4" w:themeColor="text2" w:themeTint="99"/>
            <w:sz w:val="24"/>
            <w:szCs w:val="24"/>
            <w:lang w:val="en-US"/>
          </w:rPr>
          <w:t>sk</w:t>
        </w:r>
        <w:proofErr w:type="spellEnd"/>
        <w:r w:rsidRPr="0037427F">
          <w:rPr>
            <w:rStyle w:val="af4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.</w:t>
        </w:r>
        <w:proofErr w:type="spellStart"/>
        <w:r w:rsidRPr="0037427F">
          <w:rPr>
            <w:rStyle w:val="af4"/>
            <w:rFonts w:ascii="Times New Roman" w:hAnsi="Times New Roman" w:cs="Times New Roman"/>
            <w:b/>
            <w:color w:val="548DD4" w:themeColor="text2" w:themeTint="99"/>
            <w:sz w:val="24"/>
            <w:szCs w:val="24"/>
          </w:rPr>
          <w:t>ru</w:t>
        </w:r>
        <w:proofErr w:type="spellEnd"/>
      </w:hyperlink>
    </w:p>
    <w:p w:rsidR="0077349D" w:rsidRPr="00B8308D" w:rsidRDefault="0077349D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77349D" w:rsidRPr="00B8308D" w:rsidSect="001E7481">
      <w:pgSz w:w="16838" w:h="11906" w:orient="landscape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6D" w:rsidRDefault="004E626D" w:rsidP="00DC7CA8">
      <w:pPr>
        <w:spacing w:after="0" w:line="240" w:lineRule="auto"/>
      </w:pPr>
      <w:r>
        <w:separator/>
      </w:r>
    </w:p>
  </w:endnote>
  <w:endnote w:type="continuationSeparator" w:id="0">
    <w:p w:rsidR="004E626D" w:rsidRDefault="004E626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6D" w:rsidRDefault="004E626D" w:rsidP="00DC7CA8">
      <w:pPr>
        <w:spacing w:after="0" w:line="240" w:lineRule="auto"/>
      </w:pPr>
      <w:r>
        <w:separator/>
      </w:r>
    </w:p>
  </w:footnote>
  <w:footnote w:type="continuationSeparator" w:id="0">
    <w:p w:rsidR="004E626D" w:rsidRDefault="004E626D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D976C8">
        <w:rPr>
          <w:rFonts w:ascii="Times New Roman" w:hAnsi="Times New Roman" w:cs="Times New Roman"/>
        </w:rPr>
        <w:t xml:space="preserve"> </w:t>
      </w:r>
      <w:r w:rsidRPr="00CC4978">
        <w:rPr>
          <w:rFonts w:ascii="Times New Roman" w:hAnsi="Times New Roman" w:cs="Times New Roman"/>
        </w:rPr>
        <w:t>861</w:t>
      </w:r>
    </w:p>
  </w:footnote>
  <w:footnote w:id="2">
    <w:p w:rsidR="00CC4978" w:rsidRDefault="00CC497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D976C8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</w:t>
      </w:r>
      <w:r w:rsidR="00D976C8">
        <w:rPr>
          <w:rFonts w:ascii="Times New Roman" w:hAnsi="Times New Roman" w:cs="Times New Roman"/>
        </w:rPr>
        <w:t xml:space="preserve"> </w:t>
      </w:r>
      <w:r w:rsidRPr="00D976C8">
        <w:rPr>
          <w:rFonts w:ascii="Times New Roman" w:hAnsi="Times New Roman" w:cs="Times New Roman"/>
        </w:rPr>
        <w:t>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00CC2"/>
    <w:rsid w:val="00020121"/>
    <w:rsid w:val="00022F24"/>
    <w:rsid w:val="0002340B"/>
    <w:rsid w:val="0002598C"/>
    <w:rsid w:val="00026177"/>
    <w:rsid w:val="0003580D"/>
    <w:rsid w:val="00040C4F"/>
    <w:rsid w:val="000653F9"/>
    <w:rsid w:val="0007146B"/>
    <w:rsid w:val="000825BA"/>
    <w:rsid w:val="000C2731"/>
    <w:rsid w:val="000C3C93"/>
    <w:rsid w:val="000D0D64"/>
    <w:rsid w:val="000E710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B2B60"/>
    <w:rsid w:val="001D45A0"/>
    <w:rsid w:val="001E7481"/>
    <w:rsid w:val="00206CD3"/>
    <w:rsid w:val="0022778E"/>
    <w:rsid w:val="00231805"/>
    <w:rsid w:val="00233155"/>
    <w:rsid w:val="00242530"/>
    <w:rsid w:val="00251BEC"/>
    <w:rsid w:val="00276213"/>
    <w:rsid w:val="0029622E"/>
    <w:rsid w:val="002963F2"/>
    <w:rsid w:val="002978AF"/>
    <w:rsid w:val="002A16A3"/>
    <w:rsid w:val="002A3BA1"/>
    <w:rsid w:val="002A4954"/>
    <w:rsid w:val="002A5552"/>
    <w:rsid w:val="002B0ACD"/>
    <w:rsid w:val="002C24EC"/>
    <w:rsid w:val="002C3F37"/>
    <w:rsid w:val="002C56E2"/>
    <w:rsid w:val="002D6F0A"/>
    <w:rsid w:val="0032200A"/>
    <w:rsid w:val="0032230E"/>
    <w:rsid w:val="00326913"/>
    <w:rsid w:val="00347A15"/>
    <w:rsid w:val="00356E81"/>
    <w:rsid w:val="00366A29"/>
    <w:rsid w:val="0037161F"/>
    <w:rsid w:val="0037427F"/>
    <w:rsid w:val="003A6292"/>
    <w:rsid w:val="003B0903"/>
    <w:rsid w:val="003B1010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A4D60"/>
    <w:rsid w:val="004B0BFE"/>
    <w:rsid w:val="004B75E4"/>
    <w:rsid w:val="004D2FC8"/>
    <w:rsid w:val="004E626D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C752C"/>
    <w:rsid w:val="005E4974"/>
    <w:rsid w:val="005E5AAE"/>
    <w:rsid w:val="005E615E"/>
    <w:rsid w:val="005F2F3E"/>
    <w:rsid w:val="005F7254"/>
    <w:rsid w:val="006003D4"/>
    <w:rsid w:val="00603CF2"/>
    <w:rsid w:val="006047AA"/>
    <w:rsid w:val="00614532"/>
    <w:rsid w:val="00620C3D"/>
    <w:rsid w:val="00640439"/>
    <w:rsid w:val="00650FC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514"/>
    <w:rsid w:val="006F446F"/>
    <w:rsid w:val="0070128B"/>
    <w:rsid w:val="00723B36"/>
    <w:rsid w:val="00762B2B"/>
    <w:rsid w:val="0077349D"/>
    <w:rsid w:val="00776C32"/>
    <w:rsid w:val="00776F8A"/>
    <w:rsid w:val="0078335E"/>
    <w:rsid w:val="007877ED"/>
    <w:rsid w:val="007919F1"/>
    <w:rsid w:val="007A282F"/>
    <w:rsid w:val="007A2C8F"/>
    <w:rsid w:val="007A350C"/>
    <w:rsid w:val="007C5088"/>
    <w:rsid w:val="007E41FA"/>
    <w:rsid w:val="00806C78"/>
    <w:rsid w:val="008117CC"/>
    <w:rsid w:val="00823FF3"/>
    <w:rsid w:val="00824E68"/>
    <w:rsid w:val="008254DA"/>
    <w:rsid w:val="0082713E"/>
    <w:rsid w:val="00846AFC"/>
    <w:rsid w:val="00863174"/>
    <w:rsid w:val="0086326F"/>
    <w:rsid w:val="00872F4E"/>
    <w:rsid w:val="008C2E25"/>
    <w:rsid w:val="008C64E4"/>
    <w:rsid w:val="008D2E8D"/>
    <w:rsid w:val="008E16CB"/>
    <w:rsid w:val="009001F4"/>
    <w:rsid w:val="00904E58"/>
    <w:rsid w:val="00905972"/>
    <w:rsid w:val="00961B2F"/>
    <w:rsid w:val="009760AB"/>
    <w:rsid w:val="00996EEC"/>
    <w:rsid w:val="009B544C"/>
    <w:rsid w:val="009D2C32"/>
    <w:rsid w:val="009D7322"/>
    <w:rsid w:val="00A22C5F"/>
    <w:rsid w:val="00A44E14"/>
    <w:rsid w:val="00A45444"/>
    <w:rsid w:val="00A474DD"/>
    <w:rsid w:val="00A61E75"/>
    <w:rsid w:val="00A705D8"/>
    <w:rsid w:val="00A710B0"/>
    <w:rsid w:val="00A8224E"/>
    <w:rsid w:val="00A947AF"/>
    <w:rsid w:val="00AD4A7C"/>
    <w:rsid w:val="00AE08E3"/>
    <w:rsid w:val="00AF67C0"/>
    <w:rsid w:val="00B04094"/>
    <w:rsid w:val="00B062AF"/>
    <w:rsid w:val="00B118E9"/>
    <w:rsid w:val="00B200FA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125B8"/>
    <w:rsid w:val="00C20511"/>
    <w:rsid w:val="00C2064F"/>
    <w:rsid w:val="00C25F4B"/>
    <w:rsid w:val="00C31515"/>
    <w:rsid w:val="00C379FF"/>
    <w:rsid w:val="00C458B0"/>
    <w:rsid w:val="00C514F8"/>
    <w:rsid w:val="00C7174A"/>
    <w:rsid w:val="00C74D96"/>
    <w:rsid w:val="00C75E65"/>
    <w:rsid w:val="00CA183B"/>
    <w:rsid w:val="00CA1E91"/>
    <w:rsid w:val="00CB26FA"/>
    <w:rsid w:val="00CC1A0A"/>
    <w:rsid w:val="00CC211B"/>
    <w:rsid w:val="00CC4978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976C8"/>
    <w:rsid w:val="00DB69AA"/>
    <w:rsid w:val="00DC03DD"/>
    <w:rsid w:val="00DC7CA8"/>
    <w:rsid w:val="00E01206"/>
    <w:rsid w:val="00E20DAF"/>
    <w:rsid w:val="00E36F56"/>
    <w:rsid w:val="00E408D2"/>
    <w:rsid w:val="00E46A2F"/>
    <w:rsid w:val="00E5056E"/>
    <w:rsid w:val="00E53D9B"/>
    <w:rsid w:val="00E557B2"/>
    <w:rsid w:val="00E70070"/>
    <w:rsid w:val="00E70F7F"/>
    <w:rsid w:val="00E74792"/>
    <w:rsid w:val="00EA53BE"/>
    <w:rsid w:val="00EB4034"/>
    <w:rsid w:val="00EC6F80"/>
    <w:rsid w:val="00ED42E7"/>
    <w:rsid w:val="00EE2C63"/>
    <w:rsid w:val="00F30DAA"/>
    <w:rsid w:val="00F4184B"/>
    <w:rsid w:val="00F4469B"/>
    <w:rsid w:val="00F87578"/>
    <w:rsid w:val="00FA6398"/>
    <w:rsid w:val="00FB1E45"/>
    <w:rsid w:val="00FC139B"/>
    <w:rsid w:val="00FC1E5A"/>
    <w:rsid w:val="00FC33E3"/>
    <w:rsid w:val="00FD60F0"/>
    <w:rsid w:val="00FE0A69"/>
    <w:rsid w:val="00FF1355"/>
    <w:rsid w:val="00FF54FF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49B3"/>
  <w15:docId w15:val="{2C20CB64-BFAA-4FE1-BDE4-5035931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905972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7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72F4E"/>
  </w:style>
  <w:style w:type="paragraph" w:styleId="af7">
    <w:name w:val="footer"/>
    <w:basedOn w:val="a"/>
    <w:link w:val="af8"/>
    <w:uiPriority w:val="99"/>
    <w:unhideWhenUsed/>
    <w:rsid w:val="0087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72F4E"/>
  </w:style>
  <w:style w:type="paragraph" w:styleId="af9">
    <w:name w:val="No Spacing"/>
    <w:uiPriority w:val="1"/>
    <w:qFormat/>
    <w:rsid w:val="0037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4AE3-571D-4818-AD40-603434F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Троицкий Андрей Александрович</cp:lastModifiedBy>
  <cp:revision>4</cp:revision>
  <cp:lastPrinted>2014-08-01T10:40:00Z</cp:lastPrinted>
  <dcterms:created xsi:type="dcterms:W3CDTF">2023-01-09T13:03:00Z</dcterms:created>
  <dcterms:modified xsi:type="dcterms:W3CDTF">2023-01-09T13:05:00Z</dcterms:modified>
</cp:coreProperties>
</file>